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/>
        <w:jc w:val="center"/>
        <w:rPr>
          <w:rFonts w:hint="eastAsia" w:ascii="宋体" w:hAnsi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滨湖集团国有资产存量商业及住宅分销合作单位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招标文件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 xml:space="preserve">  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  <w:lang w:eastAsia="zh-CN"/>
        </w:rPr>
        <w:t>合肥滨投资产运营管理有限责任公司</w:t>
      </w:r>
      <w:r>
        <w:rPr>
          <w:rFonts w:hint="eastAsia" w:ascii="宋体" w:hAnsi="宋体"/>
          <w:color w:val="000000"/>
          <w:sz w:val="24"/>
          <w:szCs w:val="18"/>
        </w:rPr>
        <w:t>拟对“</w:t>
      </w:r>
      <w:r>
        <w:rPr>
          <w:rFonts w:hint="eastAsia" w:ascii="宋体" w:hAnsi="宋体"/>
          <w:b/>
          <w:color w:val="000000"/>
          <w:sz w:val="24"/>
          <w:szCs w:val="18"/>
          <w:u w:val="single"/>
          <w:lang w:val="en-US" w:eastAsia="zh-CN"/>
        </w:rPr>
        <w:t xml:space="preserve"> 滨湖集团国有资产存量商业及住宅分销合作单位招标 </w:t>
      </w:r>
      <w:r>
        <w:rPr>
          <w:rFonts w:hint="eastAsia" w:ascii="宋体" w:hAnsi="宋体"/>
          <w:color w:val="000000"/>
          <w:sz w:val="24"/>
          <w:szCs w:val="18"/>
        </w:rPr>
        <w:t>”</w:t>
      </w:r>
      <w:r>
        <w:rPr>
          <w:rFonts w:hint="eastAsia" w:ascii="宋体" w:hAnsi="宋体"/>
          <w:color w:val="000000"/>
          <w:sz w:val="24"/>
          <w:szCs w:val="18"/>
          <w:lang w:eastAsia="zh-CN"/>
        </w:rPr>
        <w:t>（项目名称）</w:t>
      </w:r>
      <w:r>
        <w:rPr>
          <w:rFonts w:hint="eastAsia" w:ascii="宋体" w:hAnsi="宋体"/>
          <w:color w:val="000000"/>
          <w:sz w:val="24"/>
          <w:szCs w:val="18"/>
        </w:rPr>
        <w:t>项目进行国</w:t>
      </w:r>
      <w:r>
        <w:rPr>
          <w:rFonts w:hint="eastAsia" w:ascii="宋体" w:hAnsi="宋体"/>
          <w:sz w:val="24"/>
          <w:szCs w:val="18"/>
        </w:rPr>
        <w:t>内公开招标</w:t>
      </w:r>
      <w:r>
        <w:rPr>
          <w:rFonts w:hint="eastAsia" w:ascii="宋体" w:hAnsi="宋体"/>
          <w:color w:val="000000"/>
          <w:sz w:val="24"/>
          <w:szCs w:val="18"/>
        </w:rPr>
        <w:t>，欢迎具备条件的国内投标人参加投标。</w:t>
      </w:r>
    </w:p>
    <w:p>
      <w:pPr>
        <w:autoSpaceDE w:val="0"/>
        <w:autoSpaceDN w:val="0"/>
        <w:adjustRightInd w:val="0"/>
        <w:spacing w:before="120" w:beforeLines="50" w:line="360" w:lineRule="auto"/>
        <w:ind w:firstLine="200"/>
        <w:jc w:val="left"/>
        <w:rPr>
          <w:rFonts w:hint="eastAsia" w:ascii="宋体" w:hAnsi="宋体"/>
          <w:b/>
          <w:color w:val="000000"/>
          <w:kern w:val="0"/>
          <w:sz w:val="24"/>
          <w:lang w:val="zh-CN"/>
        </w:rPr>
      </w:pPr>
      <w:r>
        <w:rPr>
          <w:rFonts w:hint="eastAsia" w:ascii="宋体" w:hAnsi="宋体"/>
          <w:b/>
          <w:color w:val="000000"/>
          <w:kern w:val="0"/>
          <w:sz w:val="24"/>
          <w:lang w:val="zh-CN"/>
        </w:rPr>
        <w:t>一、项目名称及内容：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1</w:t>
      </w:r>
      <w:r>
        <w:rPr>
          <w:rFonts w:hint="eastAsia" w:ascii="宋体" w:hAnsi="宋体"/>
          <w:color w:val="000000"/>
          <w:kern w:val="0"/>
          <w:sz w:val="24"/>
          <w:lang w:val="zh-CN"/>
        </w:rPr>
        <w:t>、项目名称：</w:t>
      </w:r>
      <w:r>
        <w:rPr>
          <w:rFonts w:hint="eastAsia" w:ascii="宋体" w:hAnsi="宋体" w:eastAsia="宋体"/>
          <w:color w:val="000000"/>
          <w:kern w:val="0"/>
          <w:sz w:val="24"/>
          <w:lang w:val="en-US" w:eastAsia="zh-CN"/>
        </w:rPr>
        <w:t>滨湖集团国有资产存量商业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及住宅</w:t>
      </w:r>
      <w:r>
        <w:rPr>
          <w:rFonts w:hint="eastAsia" w:ascii="宋体" w:hAnsi="宋体" w:eastAsia="宋体"/>
          <w:color w:val="000000"/>
          <w:kern w:val="0"/>
          <w:sz w:val="24"/>
          <w:lang w:val="en-US" w:eastAsia="zh-CN"/>
        </w:rPr>
        <w:t>分销合作单位招标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>；</w:t>
      </w:r>
      <w:r>
        <w:rPr>
          <w:rFonts w:hint="eastAsia" w:ascii="宋体" w:hAnsi="宋体" w:eastAsia="宋体"/>
          <w:color w:val="000000"/>
          <w:kern w:val="0"/>
          <w:sz w:val="24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/>
          <w:b w:val="0"/>
          <w:bCs/>
          <w:color w:val="000000"/>
          <w:sz w:val="24"/>
          <w:szCs w:val="18"/>
          <w:lang w:val="en-US" w:eastAsia="zh-CN"/>
        </w:rPr>
        <w:t>2、项目地点：</w:t>
      </w:r>
      <w:r>
        <w:rPr>
          <w:rFonts w:hint="eastAsia" w:ascii="宋体" w:hAnsi="宋体" w:cs="宋体"/>
          <w:sz w:val="24"/>
          <w:lang w:eastAsia="zh-CN"/>
        </w:rPr>
        <w:t>合肥市；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/>
          <w:sz w:val="24"/>
          <w:szCs w:val="18"/>
          <w:lang w:val="en-US" w:eastAsia="zh-CN"/>
        </w:rPr>
        <w:t>3</w:t>
      </w:r>
      <w:r>
        <w:rPr>
          <w:rFonts w:hint="eastAsia" w:ascii="宋体" w:hAnsi="宋体"/>
          <w:sz w:val="24"/>
          <w:szCs w:val="18"/>
        </w:rPr>
        <w:t>、招标</w:t>
      </w:r>
      <w:r>
        <w:rPr>
          <w:rFonts w:hint="eastAsia" w:ascii="宋体" w:hAnsi="宋体"/>
          <w:sz w:val="24"/>
          <w:szCs w:val="18"/>
          <w:lang w:eastAsia="zh-CN"/>
        </w:rPr>
        <w:t>人</w:t>
      </w:r>
      <w:r>
        <w:rPr>
          <w:rFonts w:hint="eastAsia" w:ascii="宋体" w:hAnsi="宋体"/>
          <w:sz w:val="24"/>
          <w:szCs w:val="18"/>
        </w:rPr>
        <w:t>：</w:t>
      </w:r>
      <w:r>
        <w:rPr>
          <w:rFonts w:hint="eastAsia" w:ascii="宋体" w:hAnsi="宋体" w:cs="宋体"/>
          <w:sz w:val="24"/>
          <w:lang w:eastAsia="zh-CN"/>
        </w:rPr>
        <w:t>合肥滨投资产运营管理有限责任公司；</w:t>
      </w:r>
    </w:p>
    <w:p>
      <w:pPr>
        <w:autoSpaceDE w:val="0"/>
        <w:autoSpaceDN w:val="0"/>
        <w:adjustRightInd w:val="0"/>
        <w:spacing w:line="360" w:lineRule="auto"/>
        <w:ind w:left="210" w:leftChars="10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2F2F2"/>
        </w:rPr>
      </w:pPr>
      <w:r>
        <w:rPr>
          <w:rFonts w:hint="eastAsia" w:ascii="宋体" w:hAnsi="宋体"/>
          <w:kern w:val="0"/>
          <w:sz w:val="24"/>
          <w:lang w:val="en-US" w:eastAsia="zh-CN"/>
        </w:rPr>
        <w:t>4</w:t>
      </w:r>
      <w:r>
        <w:rPr>
          <w:rFonts w:hint="eastAsia" w:ascii="宋体" w:hAnsi="宋体"/>
          <w:kern w:val="0"/>
          <w:sz w:val="24"/>
          <w:lang w:val="zh-CN"/>
        </w:rPr>
        <w:t>、</w:t>
      </w:r>
      <w:r>
        <w:rPr>
          <w:rFonts w:hint="eastAsia" w:ascii="宋体" w:hAnsi="宋体"/>
          <w:sz w:val="24"/>
          <w:szCs w:val="18"/>
          <w:lang w:val="en-US" w:eastAsia="zh-CN"/>
        </w:rPr>
        <w:t>本次招标范围：有住宅/商业销售经验的房地产市场营销策划、渠道拓展、销售代理或房地产经纪业务的公司，能够为滨湖集团国有资产存量商业及住宅转让项目提供营销服务，在资源整合方面有着独特的渠道、方法；</w:t>
      </w:r>
    </w:p>
    <w:p>
      <w:pPr>
        <w:spacing w:line="360" w:lineRule="auto"/>
        <w:ind w:firstLine="480" w:firstLineChars="200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2F2F2"/>
          <w:lang w:val="en-US" w:eastAsia="zh-CN" w:bidi="ar"/>
        </w:rPr>
      </w:pPr>
      <w:r>
        <w:rPr>
          <w:rFonts w:hint="eastAsia" w:ascii="宋体" w:hAnsi="宋体"/>
          <w:sz w:val="24"/>
          <w:szCs w:val="18"/>
          <w:lang w:val="en-US" w:eastAsia="zh-CN"/>
        </w:rPr>
        <w:t>5、本次招标佣金及人员说明：</w:t>
      </w:r>
      <w:r>
        <w:rPr>
          <w:rFonts w:hint="eastAsia" w:ascii="宋体" w:hAnsi="宋体"/>
          <w:b/>
          <w:bCs/>
          <w:sz w:val="24"/>
          <w:szCs w:val="18"/>
          <w:lang w:val="en-US" w:eastAsia="zh-CN"/>
        </w:rPr>
        <w:t>甲方按照乙方实际房产销售成交价总金额支付代理佣金，代理佣金分为基础佣金和溢价分成佣金，具体基础佣金比例按照“一房一佣”的原则；根据甲方提供的房产净得底价（国有资产处置的房产则为资产评估价）及约定的基础佣金比例结算基础佣金；乙方全程服务客户至全款金额到账后方可结算佣金，其中一次性付款购房人的过户服务费用按照2000元/套支付给乙方，贷款按揭购房的服务费用按照3000元/套支付给乙方；</w:t>
      </w:r>
    </w:p>
    <w:p>
      <w:pPr>
        <w:spacing w:line="360" w:lineRule="auto"/>
        <w:ind w:firstLine="482" w:firstLineChars="200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2F2F2"/>
        </w:rPr>
      </w:pPr>
      <w:r>
        <w:rPr>
          <w:rFonts w:hint="eastAsia" w:ascii="宋体" w:hAnsi="宋体"/>
          <w:b/>
          <w:bCs/>
          <w:sz w:val="24"/>
          <w:szCs w:val="18"/>
          <w:lang w:val="en-US" w:eastAsia="zh-CN"/>
        </w:rPr>
        <w:t>团队需人员至少2人驻场服务项目，服从开发商考核管理。</w:t>
      </w:r>
    </w:p>
    <w:p>
      <w:pPr>
        <w:autoSpaceDE w:val="0"/>
        <w:autoSpaceDN w:val="0"/>
        <w:adjustRightInd w:val="0"/>
        <w:spacing w:line="360" w:lineRule="auto"/>
        <w:ind w:left="210" w:leftChars="100"/>
        <w:jc w:val="left"/>
        <w:rPr>
          <w:rFonts w:hint="eastAsia" w:ascii="宋体" w:hAnsi="宋体"/>
          <w:sz w:val="24"/>
          <w:szCs w:val="18"/>
          <w:lang w:val="en-US" w:eastAsia="zh-CN"/>
        </w:rPr>
      </w:pPr>
      <w:r>
        <w:rPr>
          <w:rFonts w:hint="eastAsia" w:ascii="宋体" w:hAnsi="宋体"/>
          <w:sz w:val="24"/>
          <w:szCs w:val="18"/>
          <w:lang w:val="en-US" w:eastAsia="zh-CN"/>
        </w:rPr>
        <w:t>6、项目类别：服务类</w:t>
      </w:r>
    </w:p>
    <w:p>
      <w:pPr>
        <w:autoSpaceDE w:val="0"/>
        <w:autoSpaceDN w:val="0"/>
        <w:adjustRightInd w:val="0"/>
        <w:spacing w:line="360" w:lineRule="auto"/>
        <w:ind w:left="210" w:leftChars="100"/>
        <w:jc w:val="left"/>
        <w:rPr>
          <w:rFonts w:hint="default" w:ascii="宋体" w:hAnsi="宋体"/>
          <w:sz w:val="24"/>
          <w:szCs w:val="18"/>
          <w:u w:val="none"/>
          <w:lang w:val="en-US" w:eastAsia="zh-CN"/>
        </w:rPr>
      </w:pPr>
      <w:r>
        <w:rPr>
          <w:rFonts w:hint="eastAsia" w:ascii="宋体" w:hAnsi="宋体"/>
          <w:sz w:val="24"/>
          <w:szCs w:val="18"/>
          <w:lang w:val="en-US" w:eastAsia="zh-CN"/>
        </w:rPr>
        <w:t>7、标段划分：本项目共划分</w:t>
      </w:r>
      <w:r>
        <w:rPr>
          <w:rFonts w:hint="eastAsia" w:ascii="宋体" w:hAnsi="宋体"/>
          <w:sz w:val="24"/>
          <w:szCs w:val="18"/>
          <w:u w:val="single"/>
          <w:lang w:val="en-US" w:eastAsia="zh-CN"/>
        </w:rPr>
        <w:t xml:space="preserve">   1   </w:t>
      </w:r>
      <w:r>
        <w:rPr>
          <w:rFonts w:hint="eastAsia" w:ascii="宋体" w:hAnsi="宋体"/>
          <w:sz w:val="24"/>
          <w:szCs w:val="18"/>
          <w:u w:val="none"/>
          <w:lang w:val="en-US" w:eastAsia="zh-CN"/>
        </w:rPr>
        <w:t>个标段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/>
          <w:bCs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sz w:val="24"/>
          <w:szCs w:val="24"/>
          <w:lang w:eastAsia="zh-CN"/>
        </w:rPr>
        <w:t>二、投标单位入围要求：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（一）注册资金（元）：注册资金不低于100万；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（二）企业经营范围必须包括房地产市场营销策划、渠道拓展、销售代理或房地产经纪业务；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（三）近两年内有不少于3个住宅/商业项目的渠道销售经验（须提供合作单位合同原件及联系方式），在当地具有渠道销售代理经验的优先；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（四）企业经营状况良好，无违法、违规等不良记录；公司具备独立法人资格，经营年限超过1年（含1年）。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三、招标文件的获取及招标文件发售办法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/>
          <w:bCs/>
          <w:color w:val="000000"/>
          <w:sz w:val="24"/>
          <w:szCs w:val="24"/>
          <w:u w:val="none"/>
          <w:lang w:eastAsia="zh-CN"/>
        </w:rPr>
      </w:pPr>
      <w:r>
        <w:rPr>
          <w:rFonts w:hint="eastAsia" w:ascii="宋体" w:hAnsi="宋体"/>
          <w:bCs/>
          <w:color w:val="000000"/>
          <w:sz w:val="24"/>
          <w:szCs w:val="24"/>
        </w:rPr>
        <w:t>1.获取时间：</w:t>
      </w:r>
      <w:r>
        <w:rPr>
          <w:rFonts w:hint="eastAsia" w:ascii="宋体" w:hAnsi="宋体"/>
          <w:bCs/>
          <w:color w:val="000000"/>
          <w:sz w:val="24"/>
          <w:szCs w:val="24"/>
          <w:u w:val="single"/>
        </w:rPr>
        <w:t>20</w:t>
      </w:r>
      <w:r>
        <w:rPr>
          <w:rFonts w:hint="eastAsia" w:ascii="宋体" w:hAnsi="宋体"/>
          <w:bCs/>
          <w:color w:val="000000"/>
          <w:sz w:val="24"/>
          <w:szCs w:val="24"/>
          <w:u w:val="single"/>
          <w:lang w:val="en-US" w:eastAsia="zh-CN"/>
        </w:rPr>
        <w:t>21</w:t>
      </w:r>
      <w:r>
        <w:rPr>
          <w:rFonts w:hint="eastAsia" w:ascii="宋体" w:hAnsi="宋体"/>
          <w:bCs/>
          <w:color w:val="000000"/>
          <w:sz w:val="24"/>
          <w:szCs w:val="24"/>
        </w:rPr>
        <w:t>年</w:t>
      </w: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>12</w:t>
      </w:r>
      <w:r>
        <w:rPr>
          <w:rFonts w:hint="eastAsia" w:ascii="宋体" w:hAnsi="宋体"/>
          <w:bCs/>
          <w:color w:val="000000"/>
          <w:sz w:val="24"/>
          <w:szCs w:val="24"/>
        </w:rPr>
        <w:t>月</w:t>
      </w: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>29</w:t>
      </w:r>
      <w:r>
        <w:rPr>
          <w:rFonts w:hint="eastAsia" w:ascii="宋体" w:hAnsi="宋体"/>
          <w:bCs/>
          <w:color w:val="000000"/>
          <w:sz w:val="24"/>
          <w:szCs w:val="24"/>
        </w:rPr>
        <w:t>日上午</w:t>
      </w:r>
      <w:r>
        <w:rPr>
          <w:rFonts w:hint="eastAsia" w:ascii="宋体" w:hAnsi="宋体"/>
          <w:bCs/>
          <w:color w:val="000000"/>
          <w:sz w:val="24"/>
          <w:szCs w:val="24"/>
          <w:u w:val="single"/>
        </w:rPr>
        <w:t>09:00</w:t>
      </w:r>
      <w:r>
        <w:rPr>
          <w:rFonts w:hint="eastAsia" w:ascii="宋体" w:hAnsi="宋体"/>
          <w:bCs/>
          <w:color w:val="000000"/>
          <w:sz w:val="24"/>
          <w:szCs w:val="24"/>
        </w:rPr>
        <w:t>至</w:t>
      </w: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bCs/>
          <w:color w:val="000000"/>
          <w:sz w:val="24"/>
          <w:szCs w:val="24"/>
          <w:u w:val="single"/>
        </w:rPr>
        <w:t>20</w:t>
      </w:r>
      <w:r>
        <w:rPr>
          <w:rFonts w:hint="eastAsia" w:ascii="宋体" w:hAnsi="宋体"/>
          <w:bCs/>
          <w:color w:val="000000"/>
          <w:sz w:val="24"/>
          <w:szCs w:val="24"/>
          <w:u w:val="single"/>
          <w:lang w:val="en-US" w:eastAsia="zh-CN"/>
        </w:rPr>
        <w:t>21</w:t>
      </w:r>
      <w:r>
        <w:rPr>
          <w:rFonts w:hint="eastAsia" w:ascii="宋体" w:hAnsi="宋体"/>
          <w:bCs/>
          <w:color w:val="000000"/>
          <w:sz w:val="24"/>
          <w:szCs w:val="24"/>
        </w:rPr>
        <w:t>年</w:t>
      </w: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>12</w:t>
      </w:r>
      <w:r>
        <w:rPr>
          <w:rFonts w:hint="eastAsia" w:ascii="宋体" w:hAnsi="宋体"/>
          <w:bCs/>
          <w:color w:val="000000"/>
          <w:sz w:val="24"/>
          <w:szCs w:val="24"/>
        </w:rPr>
        <w:t>月</w:t>
      </w: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>31</w:t>
      </w:r>
      <w:r>
        <w:rPr>
          <w:rFonts w:hint="eastAsia" w:ascii="宋体" w:hAnsi="宋体"/>
          <w:bCs/>
          <w:color w:val="000000"/>
          <w:sz w:val="24"/>
          <w:szCs w:val="24"/>
        </w:rPr>
        <w:t>日下午</w:t>
      </w:r>
      <w:r>
        <w:rPr>
          <w:rFonts w:hint="eastAsia" w:ascii="宋体" w:hAnsi="宋体"/>
          <w:bCs/>
          <w:color w:val="000000"/>
          <w:sz w:val="24"/>
          <w:szCs w:val="24"/>
          <w:u w:val="single"/>
        </w:rPr>
        <w:t>17:30</w:t>
      </w:r>
      <w:r>
        <w:rPr>
          <w:rFonts w:hint="eastAsia" w:ascii="宋体" w:hAnsi="宋体"/>
          <w:bCs/>
          <w:color w:val="00000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/>
          <w:bCs/>
          <w:color w:val="000000"/>
          <w:sz w:val="24"/>
          <w:szCs w:val="24"/>
          <w:u w:val="none"/>
          <w:lang w:eastAsia="zh-CN"/>
        </w:rPr>
        <w:t>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Cs/>
          <w:color w:val="000000"/>
          <w:sz w:val="24"/>
          <w:szCs w:val="24"/>
        </w:rPr>
      </w:pPr>
      <w:r>
        <w:rPr>
          <w:rFonts w:hint="eastAsia" w:ascii="宋体" w:hAnsi="宋体"/>
          <w:bCs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bCs/>
          <w:color w:val="000000"/>
          <w:sz w:val="24"/>
          <w:szCs w:val="24"/>
        </w:rPr>
        <w:t>.获取方式：投标人须登</w:t>
      </w: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录合肥滨湖投资控股集团有限公司官网自行下载</w:t>
      </w:r>
      <w:r>
        <w:rPr>
          <w:rFonts w:hint="eastAsia" w:ascii="宋体" w:hAnsi="宋体"/>
          <w:bCs/>
          <w:color w:val="000000"/>
          <w:sz w:val="24"/>
          <w:szCs w:val="24"/>
        </w:rPr>
        <w:t>招标文件。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/>
          <w:bCs w:val="0"/>
          <w:color w:val="000000"/>
          <w:sz w:val="24"/>
          <w:szCs w:val="24"/>
        </w:rPr>
      </w:pPr>
      <w:r>
        <w:rPr>
          <w:rFonts w:hint="eastAsia" w:ascii="宋体" w:hAnsi="宋体"/>
          <w:b/>
          <w:bCs w:val="0"/>
          <w:color w:val="000000"/>
          <w:sz w:val="24"/>
          <w:szCs w:val="24"/>
        </w:rPr>
        <w:t xml:space="preserve">投标报名提交材料：  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1.《投标承诺函》（承诺提供材料真实性并加盖公章）；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2. 企业的营业执照影印件（加盖公章）；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3.《房地产经纪机构备案证明》复印件，加盖公章；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4. 项目业绩：近3年优秀合作案例（将公告附件合作案例清单填报完毕后加盖公章，并将合作合同双方盖章页扫描件一并上传）；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5. 提报市场策略、销售目标、团队配置、对客户的理解等；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注：所有资料均需提供书面及电子版各一份，复印件加盖公章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，电子版发送至邮箱：251079271@qq.com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。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报名截止时间：2021年12月31日止。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/>
          <w:bCs/>
          <w:color w:val="000000"/>
          <w:sz w:val="24"/>
          <w:szCs w:val="18"/>
        </w:rPr>
      </w:pPr>
      <w:r>
        <w:rPr>
          <w:rFonts w:hint="eastAsia" w:ascii="宋体" w:hAnsi="宋体"/>
          <w:b/>
          <w:bCs/>
          <w:color w:val="000000"/>
          <w:sz w:val="24"/>
          <w:szCs w:val="18"/>
          <w:lang w:val="en-US" w:eastAsia="zh-CN"/>
        </w:rPr>
        <w:t>五</w:t>
      </w:r>
      <w:r>
        <w:rPr>
          <w:rFonts w:hint="eastAsia" w:ascii="宋体" w:hAnsi="宋体"/>
          <w:b/>
          <w:bCs/>
          <w:color w:val="000000"/>
          <w:sz w:val="24"/>
          <w:szCs w:val="18"/>
        </w:rPr>
        <w:t>、开标时间及地点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投标单位必须在 </w:t>
      </w:r>
      <w:r>
        <w:rPr>
          <w:rFonts w:hint="eastAsia" w:ascii="宋体" w:hAnsi="宋体" w:eastAsia="宋体" w:cs="Times New Roman"/>
          <w:b/>
          <w:bCs/>
          <w:sz w:val="24"/>
          <w:szCs w:val="24"/>
          <w:u w:val="single"/>
        </w:rPr>
        <w:t>202</w:t>
      </w:r>
      <w:r>
        <w:rPr>
          <w:rFonts w:hint="eastAsia" w:ascii="宋体" w:hAnsi="宋体" w:cs="Times New Roman"/>
          <w:b/>
          <w:bCs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年</w:t>
      </w:r>
      <w:r>
        <w:rPr>
          <w:rFonts w:hint="eastAsia" w:ascii="宋体" w:hAnsi="宋体" w:cs="Times New Roman"/>
          <w:b/>
          <w:bCs/>
          <w:sz w:val="24"/>
          <w:szCs w:val="24"/>
          <w:u w:val="single"/>
          <w:lang w:val="en-US" w:eastAsia="zh-CN"/>
        </w:rPr>
        <w:t>1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月</w:t>
      </w:r>
      <w:r>
        <w:rPr>
          <w:rFonts w:hint="eastAsia" w:ascii="宋体" w:hAnsi="宋体" w:cs="Times New Roman"/>
          <w:b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Times New Roman"/>
          <w:b/>
          <w:bCs/>
          <w:sz w:val="24"/>
          <w:szCs w:val="24"/>
          <w:u w:val="single"/>
        </w:rPr>
        <w:t>日</w:t>
      </w:r>
      <w:r>
        <w:rPr>
          <w:rFonts w:hint="eastAsia" w:ascii="宋体" w:hAnsi="宋体" w:eastAsia="宋体" w:cs="Times New Roman"/>
          <w:sz w:val="24"/>
          <w:szCs w:val="24"/>
        </w:rPr>
        <w:t>下午</w:t>
      </w:r>
      <w:r>
        <w:rPr>
          <w:rFonts w:hint="eastAsia" w:ascii="宋体" w:hAnsi="宋体" w:eastAsia="宋体" w:cs="Times New Roman"/>
          <w:b/>
          <w:bCs/>
          <w:sz w:val="24"/>
          <w:szCs w:val="24"/>
          <w:u w:val="single"/>
        </w:rPr>
        <w:t>17:30</w:t>
      </w:r>
      <w:r>
        <w:rPr>
          <w:rFonts w:hint="eastAsia" w:ascii="宋体" w:hAnsi="宋体" w:eastAsia="宋体" w:cs="Times New Roman"/>
          <w:sz w:val="24"/>
          <w:szCs w:val="24"/>
        </w:rPr>
        <w:t>前将：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投标文件</w:t>
      </w:r>
      <w:r>
        <w:rPr>
          <w:rFonts w:hint="eastAsia" w:ascii="宋体" w:hAnsi="宋体" w:eastAsia="宋体" w:cs="Times New Roman"/>
          <w:sz w:val="24"/>
          <w:szCs w:val="24"/>
        </w:rPr>
        <w:t>密封盖章送（寄）至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合肥市包河区徽州大道1388号208室</w:t>
      </w:r>
      <w:r>
        <w:rPr>
          <w:rFonts w:hint="eastAsia" w:ascii="宋体" w:hAnsi="宋体" w:eastAsia="宋体" w:cs="Times New Roman"/>
          <w:sz w:val="24"/>
          <w:szCs w:val="24"/>
        </w:rPr>
        <w:t>，超过规定时间送达的投标文件，无论任何理由均取消其投标资格。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2、开标时间：由招标人另行电话通知；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3、开标地点：由招标人另行电话通知；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  <w:lang w:val="en-US" w:eastAsia="zh-CN"/>
        </w:rPr>
        <w:t>4、答疑时间：</w:t>
      </w:r>
      <w:r>
        <w:rPr>
          <w:rFonts w:hint="eastAsia" w:ascii="宋体" w:hAnsi="宋体" w:eastAsia="宋体" w:cs="Times New Roman"/>
          <w:sz w:val="24"/>
          <w:szCs w:val="24"/>
        </w:rPr>
        <w:t>报名之日起至 20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Times New Roman"/>
          <w:sz w:val="24"/>
          <w:szCs w:val="24"/>
        </w:rPr>
        <w:t xml:space="preserve"> 年12月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 w:cs="Times New Roman"/>
          <w:sz w:val="24"/>
          <w:szCs w:val="24"/>
        </w:rPr>
        <w:t>日17：00</w:t>
      </w:r>
      <w:r>
        <w:rPr>
          <w:rFonts w:hint="eastAsia" w:ascii="宋体" w:hAnsi="宋体" w:cs="Times New Roman"/>
          <w:sz w:val="24"/>
          <w:szCs w:val="24"/>
          <w:lang w:eastAsia="zh-CN"/>
        </w:rPr>
        <w:t>；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/>
          <w:bCs/>
          <w:color w:val="000000"/>
          <w:sz w:val="24"/>
          <w:szCs w:val="18"/>
        </w:rPr>
      </w:pPr>
      <w:r>
        <w:rPr>
          <w:rFonts w:hint="eastAsia" w:ascii="宋体" w:hAnsi="宋体"/>
          <w:b/>
          <w:bCs/>
          <w:color w:val="000000"/>
          <w:sz w:val="24"/>
          <w:szCs w:val="18"/>
          <w:lang w:val="en-US" w:eastAsia="zh-CN"/>
        </w:rPr>
        <w:t>六</w:t>
      </w:r>
      <w:r>
        <w:rPr>
          <w:rFonts w:hint="eastAsia" w:ascii="宋体" w:hAnsi="宋体"/>
          <w:b/>
          <w:bCs/>
          <w:color w:val="000000"/>
          <w:sz w:val="24"/>
          <w:szCs w:val="18"/>
        </w:rPr>
        <w:t>、投标截止时间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/>
          <w:bCs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b/>
          <w:bCs/>
          <w:color w:val="000000"/>
          <w:sz w:val="24"/>
          <w:u w:val="single"/>
        </w:rPr>
        <w:t>20</w:t>
      </w:r>
      <w:r>
        <w:rPr>
          <w:rFonts w:hint="eastAsia" w:ascii="宋体" w:hAnsi="宋体"/>
          <w:b/>
          <w:bCs/>
          <w:color w:val="000000"/>
          <w:sz w:val="24"/>
          <w:u w:val="single"/>
          <w:lang w:val="en-US" w:eastAsia="zh-CN"/>
        </w:rPr>
        <w:t>22</w:t>
      </w:r>
      <w:r>
        <w:rPr>
          <w:rFonts w:hint="eastAsia" w:ascii="宋体" w:hAnsi="宋体"/>
          <w:b/>
          <w:bCs/>
          <w:color w:val="000000"/>
          <w:sz w:val="24"/>
        </w:rPr>
        <w:t>年</w:t>
      </w:r>
      <w:r>
        <w:rPr>
          <w:rFonts w:hint="eastAsia" w:ascii="宋体" w:hAnsi="宋体"/>
          <w:b/>
          <w:bCs/>
          <w:color w:val="000000"/>
          <w:sz w:val="24"/>
          <w:u w:val="single"/>
          <w:lang w:val="en-US" w:eastAsia="zh-CN"/>
        </w:rPr>
        <w:t>1</w:t>
      </w:r>
      <w:r>
        <w:rPr>
          <w:rFonts w:hint="eastAsia" w:ascii="宋体" w:hAnsi="宋体"/>
          <w:b/>
          <w:bCs/>
          <w:color w:val="000000"/>
          <w:sz w:val="24"/>
        </w:rPr>
        <w:t>月</w:t>
      </w:r>
      <w:r>
        <w:rPr>
          <w:rFonts w:hint="eastAsia" w:ascii="宋体" w:hAnsi="宋体"/>
          <w:b/>
          <w:bCs/>
          <w:color w:val="000000"/>
          <w:sz w:val="24"/>
          <w:u w:val="single"/>
          <w:lang w:val="en-US" w:eastAsia="zh-CN"/>
        </w:rPr>
        <w:t>4</w:t>
      </w:r>
      <w:r>
        <w:rPr>
          <w:rFonts w:hint="eastAsia" w:ascii="宋体" w:hAnsi="宋体"/>
          <w:b/>
          <w:bCs/>
          <w:color w:val="000000"/>
          <w:sz w:val="24"/>
        </w:rPr>
        <w:t>日</w:t>
      </w:r>
      <w:r>
        <w:rPr>
          <w:rFonts w:hint="eastAsia" w:ascii="宋体" w:hAnsi="宋体"/>
          <w:b/>
          <w:bCs/>
          <w:color w:val="000000"/>
          <w:sz w:val="24"/>
          <w:u w:val="single"/>
          <w:lang w:val="en-US" w:eastAsia="zh-CN"/>
        </w:rPr>
        <w:t>17</w:t>
      </w:r>
      <w:r>
        <w:rPr>
          <w:rFonts w:hint="eastAsia" w:ascii="宋体" w:hAnsi="宋体"/>
          <w:b/>
          <w:bCs/>
          <w:color w:val="000000"/>
          <w:sz w:val="24"/>
        </w:rPr>
        <w:t>:</w:t>
      </w:r>
      <w:r>
        <w:rPr>
          <w:rFonts w:hint="eastAsia" w:ascii="宋体" w:hAnsi="宋体"/>
          <w:b/>
          <w:bCs/>
          <w:color w:val="000000"/>
          <w:sz w:val="24"/>
          <w:lang w:val="en-US" w:eastAsia="zh-CN"/>
        </w:rPr>
        <w:t>3</w:t>
      </w:r>
      <w:r>
        <w:rPr>
          <w:rFonts w:hint="eastAsia" w:ascii="宋体" w:hAnsi="宋体"/>
          <w:b/>
          <w:bCs/>
          <w:color w:val="000000"/>
          <w:sz w:val="24"/>
          <w:u w:val="single"/>
          <w:lang w:val="en-US" w:eastAsia="zh-CN"/>
        </w:rPr>
        <w:t>0</w:t>
      </w:r>
    </w:p>
    <w:p>
      <w:pPr>
        <w:autoSpaceDE w:val="0"/>
        <w:autoSpaceDN w:val="0"/>
        <w:adjustRightInd w:val="0"/>
        <w:spacing w:line="360" w:lineRule="auto"/>
        <w:ind w:firstLine="200"/>
        <w:jc w:val="left"/>
        <w:rPr>
          <w:rFonts w:hint="eastAsia" w:ascii="宋体" w:hAnsi="宋体"/>
          <w:b/>
          <w:bCs/>
          <w:color w:val="000000"/>
          <w:sz w:val="24"/>
          <w:szCs w:val="18"/>
        </w:rPr>
      </w:pPr>
      <w:r>
        <w:rPr>
          <w:rFonts w:hint="eastAsia" w:ascii="宋体" w:hAnsi="宋体"/>
          <w:b/>
          <w:bCs/>
          <w:color w:val="000000"/>
          <w:sz w:val="24"/>
          <w:szCs w:val="18"/>
        </w:rPr>
        <w:t>六、联系方法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宋体" w:hAnsi="宋体" w:eastAsia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招标</w:t>
      </w:r>
      <w:r>
        <w:rPr>
          <w:rFonts w:hint="eastAsia" w:ascii="宋体" w:hAnsi="宋体"/>
          <w:color w:val="000000"/>
          <w:sz w:val="24"/>
          <w:szCs w:val="24"/>
        </w:rPr>
        <w:t>单位：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合肥滨投资产运营管理有限责任公司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bidi w:val="0"/>
        <w:snapToGrid/>
        <w:spacing w:line="400" w:lineRule="exact"/>
        <w:textAlignment w:val="auto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</w:rPr>
        <w:t>地址：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合肥市包河区徽州大道1388号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二楼208室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</w:rPr>
        <w:t>联系人：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丁丁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</w:rPr>
        <w:t>电话：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18256092610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jc w:val="left"/>
        <w:textAlignment w:val="auto"/>
        <w:rPr>
          <w:rFonts w:hint="eastAsia" w:ascii="宋体" w:hAnsi="宋体"/>
          <w:color w:val="000000"/>
          <w:sz w:val="24"/>
          <w:szCs w:val="24"/>
          <w:lang w:val="en-US" w:eastAsia="zh-CN"/>
        </w:rPr>
      </w:pPr>
    </w:p>
    <w:p>
      <w:pPr>
        <w:spacing w:line="360" w:lineRule="auto"/>
        <w:ind w:firstLine="480"/>
        <w:rPr>
          <w:rFonts w:hint="eastAsia" w:ascii="宋体" w:hAnsi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附件：标书评审标准</w:t>
      </w:r>
    </w:p>
    <w:p>
      <w:pPr>
        <w:spacing w:line="360" w:lineRule="auto"/>
        <w:ind w:firstLine="480"/>
        <w:rPr>
          <w:rFonts w:hint="eastAsia" w:ascii="宋体" w:hAnsi="宋体" w:eastAsia="宋体" w:cs="宋体"/>
          <w:b/>
          <w:bCs/>
          <w:sz w:val="23"/>
          <w:szCs w:val="23"/>
        </w:rPr>
      </w:pPr>
      <w:r>
        <w:rPr>
          <w:rFonts w:hint="eastAsia" w:ascii="宋体" w:hAnsi="宋体" w:eastAsia="宋体" w:cs="宋体"/>
          <w:b/>
          <w:bCs/>
          <w:sz w:val="23"/>
          <w:szCs w:val="23"/>
        </w:rPr>
        <w:t>1</w:t>
      </w:r>
      <w:r>
        <w:rPr>
          <w:rFonts w:hint="eastAsia" w:ascii="宋体" w:hAnsi="宋体" w:eastAsia="宋体" w:cs="宋体"/>
          <w:b/>
          <w:bCs/>
          <w:sz w:val="23"/>
          <w:szCs w:val="23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sz w:val="23"/>
          <w:szCs w:val="23"/>
        </w:rPr>
        <w:t xml:space="preserve"> 技术部分评审（</w:t>
      </w:r>
      <w:r>
        <w:rPr>
          <w:rFonts w:hint="eastAsia" w:ascii="宋体" w:hAnsi="宋体" w:cs="宋体"/>
          <w:b/>
          <w:bCs/>
          <w:sz w:val="23"/>
          <w:szCs w:val="23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3"/>
          <w:szCs w:val="23"/>
        </w:rPr>
        <w:t>0分）</w:t>
      </w:r>
    </w:p>
    <w:tbl>
      <w:tblPr>
        <w:tblStyle w:val="5"/>
        <w:tblW w:w="94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518"/>
        <w:gridCol w:w="5386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tblHeader/>
        </w:trPr>
        <w:tc>
          <w:tcPr>
            <w:tcW w:w="322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>评审因素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>评审标准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>一.项目技术指标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0分</w:t>
            </w: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2518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1.商业环境调研分析</w:t>
            </w:r>
          </w:p>
        </w:tc>
        <w:tc>
          <w:tcPr>
            <w:tcW w:w="5386" w:type="dxa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420"/>
              </w:tabs>
              <w:ind w:left="42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项目周边环境分析全面、透彻   （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-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  <w:p>
            <w:pPr>
              <w:numPr>
                <w:ilvl w:val="0"/>
                <w:numId w:val="2"/>
              </w:numPr>
              <w:tabs>
                <w:tab w:val="left" w:pos="420"/>
              </w:tabs>
              <w:ind w:left="42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调研分析浅显、图文和数据不全             （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-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  <w:p>
            <w:pPr>
              <w:numPr>
                <w:ilvl w:val="0"/>
                <w:numId w:val="2"/>
              </w:numPr>
              <w:tabs>
                <w:tab w:val="left" w:pos="420"/>
              </w:tabs>
              <w:ind w:left="42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8"/>
                <w:sz w:val="23"/>
                <w:szCs w:val="23"/>
              </w:rPr>
              <w:t xml:space="preserve">对标参考项目分析不透彻、借鉴意义不大                    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（0-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709" w:type="dxa"/>
            <w:vMerge w:val="continue"/>
            <w:vAlign w:val="center"/>
          </w:tcPr>
          <w:p>
            <w:pPr>
              <w:pStyle w:val="3"/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</w:pPr>
          </w:p>
        </w:tc>
        <w:tc>
          <w:tcPr>
            <w:tcW w:w="2518" w:type="dxa"/>
            <w:vAlign w:val="center"/>
          </w:tcPr>
          <w:p>
            <w:pPr>
              <w:spacing w:line="360" w:lineRule="auto"/>
              <w:ind w:left="230" w:hanging="230" w:hangingChars="10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2.产品分析与项目定位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8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8"/>
                <w:sz w:val="23"/>
                <w:szCs w:val="23"/>
              </w:rPr>
              <w:t>1）能否结合</w:t>
            </w:r>
            <w:r>
              <w:rPr>
                <w:rFonts w:hint="eastAsia" w:ascii="宋体" w:hAnsi="宋体" w:cs="宋体"/>
                <w:spacing w:val="-18"/>
                <w:sz w:val="23"/>
                <w:szCs w:val="23"/>
                <w:lang w:eastAsia="zh-CN"/>
              </w:rPr>
              <w:t>现状</w:t>
            </w:r>
            <w:r>
              <w:rPr>
                <w:rFonts w:hint="eastAsia" w:ascii="宋体" w:hAnsi="宋体" w:eastAsia="宋体" w:cs="宋体"/>
                <w:spacing w:val="-18"/>
                <w:sz w:val="23"/>
                <w:szCs w:val="23"/>
              </w:rPr>
              <w:t xml:space="preserve">，项目产品剖析透彻、主题定位、市场定位、目标客户定位等合情合理，符合本项目发展预期        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（5-1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709" w:type="dxa"/>
            <w:vMerge w:val="continue"/>
            <w:vAlign w:val="center"/>
          </w:tcPr>
          <w:p>
            <w:pPr>
              <w:pStyle w:val="3"/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</w:pPr>
          </w:p>
        </w:tc>
        <w:tc>
          <w:tcPr>
            <w:tcW w:w="2518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3.项目推广方案：</w:t>
            </w:r>
            <w:r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  <w:t>推广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策略与执行、重要节点与保障措施、投入与</w:t>
            </w:r>
            <w:r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  <w:t>效果预估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、资源储备情况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1）方案思路清晰、行之有效、可行性高（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-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2）方案一般（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-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3）方案思路不清晰，可行性、可信度低（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-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</w:t>
            </w:r>
          </w:p>
        </w:tc>
      </w:tr>
    </w:tbl>
    <w:p>
      <w:pPr>
        <w:widowControl/>
        <w:spacing w:line="360" w:lineRule="auto"/>
        <w:ind w:firstLine="453" w:firstLineChars="196"/>
        <w:jc w:val="left"/>
        <w:rPr>
          <w:rFonts w:hint="eastAsia" w:ascii="宋体" w:hAnsi="宋体" w:eastAsia="宋体" w:cs="宋体"/>
          <w:b/>
          <w:bCs/>
          <w:kern w:val="0"/>
          <w:sz w:val="23"/>
          <w:szCs w:val="23"/>
        </w:rPr>
      </w:pPr>
      <w:r>
        <w:rPr>
          <w:rFonts w:hint="eastAsia" w:ascii="宋体" w:hAnsi="宋体" w:eastAsia="宋体" w:cs="宋体"/>
          <w:b/>
          <w:bCs/>
          <w:kern w:val="0"/>
          <w:sz w:val="23"/>
          <w:szCs w:val="23"/>
        </w:rPr>
        <w:t>2. 商务部分评审（</w:t>
      </w:r>
      <w:r>
        <w:rPr>
          <w:rFonts w:hint="eastAsia" w:ascii="宋体" w:hAnsi="宋体" w:cs="宋体"/>
          <w:b/>
          <w:bCs/>
          <w:kern w:val="0"/>
          <w:sz w:val="23"/>
          <w:szCs w:val="23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kern w:val="0"/>
          <w:sz w:val="23"/>
          <w:szCs w:val="23"/>
        </w:rPr>
        <w:t>0分）</w:t>
      </w:r>
    </w:p>
    <w:tbl>
      <w:tblPr>
        <w:tblStyle w:val="5"/>
        <w:tblW w:w="94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518"/>
        <w:gridCol w:w="5386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322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>评审因素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>评审标准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>一.公司综合指标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 xml:space="preserve">0分 </w:t>
            </w:r>
          </w:p>
        </w:tc>
        <w:tc>
          <w:tcPr>
            <w:tcW w:w="2518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1.综合实力</w:t>
            </w:r>
          </w:p>
        </w:tc>
        <w:tc>
          <w:tcPr>
            <w:tcW w:w="5386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1）公司规模、近期业绩证明等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 xml:space="preserve">综合考量                       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709" w:type="dxa"/>
            <w:vMerge w:val="continue"/>
            <w:vAlign w:val="center"/>
          </w:tcPr>
          <w:p>
            <w:pPr>
              <w:pStyle w:val="3"/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</w:pPr>
          </w:p>
        </w:tc>
        <w:tc>
          <w:tcPr>
            <w:tcW w:w="2518" w:type="dxa"/>
            <w:vMerge w:val="restart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2.以往业绩与优势</w:t>
            </w:r>
            <w:bookmarkStart w:id="0" w:name="_GoBack"/>
            <w:bookmarkEnd w:id="0"/>
          </w:p>
        </w:tc>
        <w:tc>
          <w:tcPr>
            <w:tcW w:w="5386" w:type="dxa"/>
            <w:vAlign w:val="center"/>
          </w:tcPr>
          <w:p>
            <w:pPr>
              <w:tabs>
                <w:tab w:val="left" w:pos="360"/>
              </w:tabs>
              <w:spacing w:line="360" w:lineRule="auto"/>
              <w:ind w:left="420" w:hanging="420" w:hangingChars="200"/>
              <w:rPr>
                <w:rFonts w:hint="eastAsia" w:ascii="宋体" w:hAnsi="宋体" w:eastAsia="宋体" w:cs="宋体"/>
                <w:spacing w:val="-8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0"/>
                <w:sz w:val="23"/>
                <w:szCs w:val="23"/>
              </w:rPr>
              <w:t>1）对项目重视度、积极态度、拟准备投入的人力物力等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（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-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709" w:type="dxa"/>
            <w:vMerge w:val="continue"/>
            <w:vAlign w:val="center"/>
          </w:tcPr>
          <w:p>
            <w:pPr>
              <w:pStyle w:val="3"/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</w:pPr>
          </w:p>
        </w:tc>
        <w:tc>
          <w:tcPr>
            <w:tcW w:w="2518" w:type="dxa"/>
            <w:vMerge w:val="continue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</w:rPr>
            </w:pPr>
          </w:p>
        </w:tc>
        <w:tc>
          <w:tcPr>
            <w:tcW w:w="5386" w:type="dxa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360"/>
              </w:tabs>
              <w:spacing w:line="360" w:lineRule="auto"/>
              <w:rPr>
                <w:rFonts w:hint="eastAsia" w:ascii="宋体" w:hAnsi="宋体" w:eastAsia="宋体" w:cs="宋体"/>
                <w:spacing w:val="-1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</w:rPr>
              <w:t>以往</w:t>
            </w: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  <w:lang w:eastAsia="zh-CN"/>
              </w:rPr>
              <w:t>操作</w:t>
            </w: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</w:rPr>
              <w:t xml:space="preserve">项目的规模、进度、成果，社会影响力  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（2-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</w:tc>
        <w:tc>
          <w:tcPr>
            <w:tcW w:w="8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9" w:hRule="atLeast"/>
        </w:trPr>
        <w:tc>
          <w:tcPr>
            <w:tcW w:w="709" w:type="dxa"/>
            <w:vMerge w:val="continue"/>
            <w:vAlign w:val="center"/>
          </w:tcPr>
          <w:p>
            <w:pPr>
              <w:pStyle w:val="3"/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</w:pPr>
          </w:p>
        </w:tc>
        <w:tc>
          <w:tcPr>
            <w:tcW w:w="2518" w:type="dxa"/>
            <w:vMerge w:val="continue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</w:rPr>
            </w:pPr>
          </w:p>
        </w:tc>
        <w:tc>
          <w:tcPr>
            <w:tcW w:w="5386" w:type="dxa"/>
            <w:vAlign w:val="center"/>
          </w:tcPr>
          <w:p>
            <w:pPr>
              <w:tabs>
                <w:tab w:val="left" w:pos="360"/>
              </w:tabs>
              <w:ind w:left="460" w:hanging="460" w:hangingChars="200"/>
              <w:rPr>
                <w:rFonts w:hint="eastAsia" w:ascii="宋体" w:hAnsi="宋体" w:eastAsia="宋体" w:cs="宋体"/>
                <w:spacing w:val="-1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3）投入项目组的人员资历、技能、经验等        （2-</w:t>
            </w:r>
            <w:r>
              <w:rPr>
                <w:rFonts w:hint="eastAsia" w:ascii="宋体" w:hAnsi="宋体" w:cs="宋体"/>
                <w:sz w:val="23"/>
                <w:szCs w:val="23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分）</w:t>
            </w:r>
          </w:p>
        </w:tc>
        <w:tc>
          <w:tcPr>
            <w:tcW w:w="8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709" w:type="dxa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3"/>
                <w:szCs w:val="23"/>
              </w:rPr>
              <w:t>二.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商务报价</w:t>
            </w:r>
          </w:p>
          <w:p>
            <w:pPr>
              <w:pStyle w:val="3"/>
              <w:spacing w:line="360" w:lineRule="auto"/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hAnsi="宋体" w:cs="宋体"/>
                <w:b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0分</w:t>
            </w:r>
          </w:p>
        </w:tc>
        <w:tc>
          <w:tcPr>
            <w:tcW w:w="7904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pacing w:val="-18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甲方按照乙方实际房产销售成交价总金额支付代理佣金，代理佣金分为基础佣金和溢价分成佣金，具体基础佣金比例按照“一房一佣”的原则（全额佣金为6%增值税专用发票含税价格，包括拓客分销点、拓客人员、日常拓客礼品、拓客车辆及费用、拓客公关费用、拓客物料等。）无法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视为废标。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20分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A92383"/>
    <w:multiLevelType w:val="singleLevel"/>
    <w:tmpl w:val="8BA9238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AA3987"/>
    <w:multiLevelType w:val="multilevel"/>
    <w:tmpl w:val="00AA3987"/>
    <w:lvl w:ilvl="0" w:tentative="0">
      <w:start w:val="2"/>
      <w:numFmt w:val="decimal"/>
      <w:lvlText w:val="%1）"/>
      <w:lvlJc w:val="left"/>
      <w:pPr>
        <w:ind w:left="360" w:hanging="360"/>
      </w:pPr>
      <w:rPr>
        <w:rFonts w:hint="default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79103B"/>
    <w:multiLevelType w:val="multilevel"/>
    <w:tmpl w:val="3979103B"/>
    <w:lvl w:ilvl="0" w:tentative="0">
      <w:start w:val="1"/>
      <w:numFmt w:val="decimal"/>
      <w:lvlText w:val="%1)"/>
      <w:lvlJc w:val="left"/>
      <w:pPr>
        <w:tabs>
          <w:tab w:val="left" w:pos="462"/>
        </w:tabs>
        <w:ind w:left="462" w:hanging="420"/>
      </w:pPr>
      <w:rPr>
        <w:rFonts w:hint="eastAsia" w:cs="Times New Roman"/>
        <w:b w:val="0"/>
        <w:bCs w:val="0"/>
        <w:i w:val="0"/>
        <w:iCs w:val="0"/>
      </w:rPr>
    </w:lvl>
    <w:lvl w:ilvl="1" w:tentative="0">
      <w:start w:val="1"/>
      <w:numFmt w:val="decimal"/>
      <w:lvlText w:val="%2)"/>
      <w:lvlJc w:val="left"/>
      <w:pPr>
        <w:tabs>
          <w:tab w:val="left" w:pos="882"/>
        </w:tabs>
        <w:ind w:left="882" w:hanging="420"/>
      </w:pPr>
      <w:rPr>
        <w:rFonts w:hint="eastAsia" w:cs="Times New Roman"/>
        <w:b w:val="0"/>
        <w:bCs w:val="0"/>
        <w:i w:val="0"/>
        <w:iCs w:val="0"/>
      </w:rPr>
    </w:lvl>
    <w:lvl w:ilvl="2" w:tentative="0">
      <w:start w:val="1"/>
      <w:numFmt w:val="lowerRoman"/>
      <w:lvlText w:val="%3."/>
      <w:lvlJc w:val="right"/>
      <w:pPr>
        <w:tabs>
          <w:tab w:val="left" w:pos="1302"/>
        </w:tabs>
        <w:ind w:left="1302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722"/>
        </w:tabs>
        <w:ind w:left="1722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42"/>
        </w:tabs>
        <w:ind w:left="2142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62"/>
        </w:tabs>
        <w:ind w:left="2562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82"/>
        </w:tabs>
        <w:ind w:left="2982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402"/>
        </w:tabs>
        <w:ind w:left="3402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822"/>
        </w:tabs>
        <w:ind w:left="3822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40CE1"/>
    <w:rsid w:val="00CF3752"/>
    <w:rsid w:val="036F0E95"/>
    <w:rsid w:val="088B57DD"/>
    <w:rsid w:val="0B161559"/>
    <w:rsid w:val="0C1567B6"/>
    <w:rsid w:val="0E067FA1"/>
    <w:rsid w:val="0EFE4E9D"/>
    <w:rsid w:val="139E0D62"/>
    <w:rsid w:val="154C258B"/>
    <w:rsid w:val="16A42EAF"/>
    <w:rsid w:val="17E96BA8"/>
    <w:rsid w:val="19F7702C"/>
    <w:rsid w:val="1B561FCE"/>
    <w:rsid w:val="22EF4E1D"/>
    <w:rsid w:val="26ED34AF"/>
    <w:rsid w:val="291341B8"/>
    <w:rsid w:val="299B4E03"/>
    <w:rsid w:val="2BC44C0B"/>
    <w:rsid w:val="2F04224B"/>
    <w:rsid w:val="35675000"/>
    <w:rsid w:val="3A7D1CEA"/>
    <w:rsid w:val="3F916140"/>
    <w:rsid w:val="4A740CE1"/>
    <w:rsid w:val="4AA94448"/>
    <w:rsid w:val="4C1938D4"/>
    <w:rsid w:val="4C1B02C5"/>
    <w:rsid w:val="4C2044B7"/>
    <w:rsid w:val="4C903F19"/>
    <w:rsid w:val="4F1312C6"/>
    <w:rsid w:val="50D24685"/>
    <w:rsid w:val="519F5DF6"/>
    <w:rsid w:val="524731A1"/>
    <w:rsid w:val="56F440EE"/>
    <w:rsid w:val="5B1008B4"/>
    <w:rsid w:val="5BF71FFF"/>
    <w:rsid w:val="6CD93A25"/>
    <w:rsid w:val="75071439"/>
    <w:rsid w:val="78DA4C53"/>
    <w:rsid w:val="7EC65EC0"/>
    <w:rsid w:val="7F30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2021-10-27T11:57:00Z</dcterms:created>
  <dc:creator>叮当</dc:creator>
  <cp:lastModifiedBy>叮当</cp:lastModifiedBy>
  <dcterms:modified xsi:type="dcterms:W3CDTF">2021-12-28T05:17:26Z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7168F15789084E7DAD8D6EDB6850AC81</vt:lpwstr>
  </property>
</Properties>
</file>